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 к проекту бюджета Ревякинского муниципального образования на очередной 2022 финансовый год и плановый период 2023-2024 годы.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 Думы Ревякинского муниципального образования о бюджете Ревякинского муниципального образования на 2022 год и плановый период 2023 – 2024 гг. подготовлен в соответствии с требованиями Бюджетного кодекса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основных параметров бюджета Ревякинского муниципального образования на 2022 год и плановый период 2023 – 2024 гг осуществлено в соответствии с требованиями действующего бюджетного и налогового законодательства, с учетом планируемых в 2022 году изменений.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учтены ожидаемые параметры исполнения бюджета Ревякинского муниципального образования на 2021 год, основные параметры прогноза социально-экономического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Ревякинского муниципального образования на 2022-2024 годы.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параметры бюджета на 2022 год и на плановый период 2023 и 2024 годов в следующих объемах: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 1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рублей)</w:t>
      </w:r>
    </w:p>
    <w:tbl>
      <w:tblPr>
        <w:tblInd w:w="108" w:type="dxa"/>
      </w:tblPr>
      <w:tblGrid>
        <w:gridCol w:w="4652"/>
        <w:gridCol w:w="1622"/>
        <w:gridCol w:w="1575"/>
        <w:gridCol w:w="1614"/>
      </w:tblGrid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параметры бюджета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Доходы,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5 862,34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5 519,95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5 728,90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4 833,24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5 012,15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5 215,80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перечисления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1 029,10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507,80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513,10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 том числе: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6 104,00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5 770,56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5 989,69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условно утвержденные расходы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44,26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99,48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Дефицит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241,66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250,61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260,79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Процент дефицита к доходам без учета безвозмездных поступлений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5 %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5 %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5 %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Верхний предел внутреннего долга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241,66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492,27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53,06</w:t>
            </w:r>
          </w:p>
        </w:tc>
      </w:tr>
      <w:tr>
        <w:trPr>
          <w:trHeight w:val="1" w:hRule="atLeast"/>
          <w:jc w:val="left"/>
        </w:trPr>
        <w:tc>
          <w:tcPr>
            <w:tcW w:w="4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Резервный фонд </w:t>
            </w:r>
          </w:p>
        </w:tc>
        <w:tc>
          <w:tcPr>
            <w:tcW w:w="1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58,62</w:t>
            </w:r>
          </w:p>
        </w:tc>
        <w:tc>
          <w:tcPr>
            <w:tcW w:w="1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55,20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57,29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ДОХОДНАЯ ЧАСТЬ БЮДЖЕТА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основу разработки прогноза налоговых и неналоговых доходов бюджета муниципального образования на 2022 и плановый период 2023 – 2024 гг., лег прогноз Межрайонной ИФНС России № 12 по Иркутской области об ожидаемой оценке поступлений налогов на 2021 год и прогноз поступлений на 2022-2024 годы.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2022 год налоговые и неналоговые доходы бюджета муниципального образования прогнозируются в объеме 4 833,24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2023 год налоговые и неналоговые доходы бюджета муниципального образования прогнозируются в объеме 5 012,15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2024 год налоговые и неналоговые доходы бюджета муниципального образования прогнозируются в объеме 5 215,80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поступления налоговых и неналоговых доходов </w:t>
        <w:br/>
        <w:t xml:space="preserve">в бюджет муниципального образования на 2022 год и плановый период 2023 – 2024 гг. представлен в приложениях 1, 2 к проекту бюджета.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РАСЧЕТА ПОСТУПЛЕНИЙ В БЮДЖЕТ РЕВЯКИНСКОГО МО ПО ОТДЕЛЬНЫМ ВИДАМ ДОХОДОВ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Налог на доходы физических лиц.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 на доходы физических лиц спрогнозирован на 2022 год и плановый период 2023 – 2024 гг. в соответствии с главой 23 Налогового кодекса Российской Федерации по нормативу зачисления 7 % в бюджет поселения на 2022 год в сумме 824,81 тыс. руб., на 2023 год в сумме 876,16 тыс. руб., на 2024 год в сумме 891,76 тыс.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Налог на имущество физических лиц.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Прогнозирование налога на имущество физических лиц осуществлено в соответствии с главой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32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Налогового кодекса Российской Федерации, а также с нормативно-правовыми актами органов местного самоуправления поселений об установлении налога на имущество физических лиц, обязательного к уплате на соответствующей территории с учетом переоценки.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Зачисление поступлений налога на имущество физических лиц производится по нормативу 100 % в бюджет поселения. Прогнозируемый объем поступления налога в 2022 году составит 193,00 тыс. рублей, в 2023 году составит 193,00 тыс. рублей, в 2024 году составит 193,00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Налоги на товары (работы, услуги), реализуемые на территории Российской Федерации (Акцизы на подакцизные товары).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произведен на основании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дифференцированных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нормативов отчислений в размере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C0C0C0" w:val="clear"/>
        </w:rPr>
        <w:t xml:space="preserve">0,021%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 акцизов на нефтепродукты на 2022 год, сформированного администратором данного вида доходов и составляет на 2022 год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сумме 1 634,28 тыс. рублей, на 2023 год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сумме 1 713,14 тыс. рублей, на 2024 год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сумме 1 850,29 тыс.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Земельный налог.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поступления земельного налога на 2022 год произведен в соответствии с главой 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Земельный налог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Налогового кодекса Российской Федерации, принятых органами местного самоуправления поселения нормативно-правовых актов об установлении земельного налога, обязательного к уплате на соответствующих территориях.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Бюджетным кодексом Российской Федерации земельный налог подлежит зачислению в доходы бюджетов поселений.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Прогнозируемый объем земельного налога в 2022 году 1 937,00 тыс. рублей, в 2023 году 1 975,00 тыс. рублей, в 2024 году 2 015,00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Государственная пошлина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 совершение нотариальных действий должностными лицами органов местного самоуправления – ожидаемое поступление данного вида доходов в 2022 году – 6,40 тыс. рублей в 2023 году – 6,40 тыс. рублей, в 2024 году – 6,40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Прочие доходы от оказания платных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оказываемых учреждениями, находящимися в ведении органов местного самоуправления,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ожидаемого поступления в 2022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в 2023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в 2024 году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- 10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Безвозмездные поступления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поселению составляют на 2022 год в сумме 1 029,1 тыс. рублей, на 2023 год в сумме 507,80 тыс. рублей, на 2024 год в сумме 513,10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безвозмездных поступлений следующий: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субсидии бюджетам сельских поселений на 2022 год в сумме 885,00 тыс.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субсидии бюджетам сельских поселений на 2023 год в сумме 358,70 тыс.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субсидии бюджетам сельских поселений на 2024 год в сумме 358,70 тыс. рублей;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Субвенции на 2022 год в сумме 144,10 тыс. рублей. (из федерального бюджета 143,40 тыс. рублей, из областного бюджета 0,70 тыс. рублей)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Субвенции на 2023 год в сумме 149,10 тыс. рублей. (из федерального бюджета 148,40 тыс. рублей, из областного бюджета 0,70 тыс. рублей)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Субвенции на 2024 год в сумме 154,40 тыс. рублей. (из федерального бюджета 153,70 тыс. рублей, из областного бюджета 0,70 тыс. рублей)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РАСХОДНАЯ ЧАСТЬ БЮДЖЕТА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бюджета Ревякинского МО по расходам сформирован на 2022 год в сумме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6 104,00 тыс. рублей, что составляет 19,52 % от требуемого (запланирован на 2,3 месяца), на 2023 год в сумме 5 770,56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на 2024 год в сумме 5 989,69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планировании объемов бюджетных ассигнований учтены следующие приоритетные направления расходов местного бюджета: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по заработной плате;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Начисления на оплату труда в размере 30,2% от фонда оплаты труда;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на оплату коммунальных услуг, услуг связи, услуг по содержанию имущества, прочие услуги;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по муниципальным программам Ревякинского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 0100 Общегосударственные вопросы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Объём расходов по разделу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Общегосударственные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предусматривает ассигнования на содержание исполнительной власти муниципального образования на 2022 год в сумме 1 878,91 тыс. рублей, на 2023 год в сумме 2 391,58 тыс. рублей, на 2024 год в сумме 2 393,67 тыс. рублей. В бюджете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создан резервный фонд на 2022 г в объеме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58,62 тыс. рублей, на 2023 г в объеме 55,20 тыс. рублей, на 2024 г в объеме 57,29 тыс. рублей на ликвидацию последствий ЧС в границах поселения.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 0203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Национальная оборона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работника военно-учетного стола планируется на 2022 год в сумме 143,40 тыс. рублей, на 2023 год в сумме 148,40 тыс. рублей, на 2024 год в сумме 153,70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 0300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Национальная безопасность и правоохранительная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Содержит расходы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выполнение муниципальной 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Пожарная безопасность и защита населения и территории Ревякинского муниципального образования от чрезвычайных ситуаций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2022 год в сумме 109,66 тыс. рублей, на 2023 год в сумме 89,66 тыс. рублей, на 2024 год в сумме 89,66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Национальная экономика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расходы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дорожного хозяйства на территории Ревякинского муниципального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Объем финансирования устанавливается в зависимости от запланированных доходов на акцизы по подакцизным товарам и остатков прошлых лет: на 2022 год в сумме 1 634,28 тыс. рублей, на 2023 год в сумме 1 713,14 тыс. рублей, на 2024 год в сумме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850,29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 0500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Жилищно-коммунальное хозяйство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Запланировано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2022 год в сумме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948,73 тыс. рублей, на 2023 год в сумме 386,46 тыс. рублей, на 2024 год в сумме 386,46 тыс.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 0801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Культура, кинематография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Запланировано на 2022 год в сумме 1 233,64 тыс. рублей, на 2023 год в сумме 897,06 тыс. рублей, на 2024 год в сумме 816,43 тыс. рублей.</w:t>
      </w:r>
    </w:p>
    <w:p>
      <w:pPr>
        <w:keepNext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разделу 14 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Межбюджетные трансферты общего характера бюджетам субъектов РФ и муниципальных образований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keepNext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Запланировано на 2022 год в сумме 155,38 тыс. рублей.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ИСТОЧНИКИ ВНУТРЕННЕГО ФИНАНСИРОВАНИЯ ДЕФИЦИТА БЮДЖЕТА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Превышение расходов над доходами запланированы на 2022 год в сумме 241,66 тыс. рублей, или 5% от утвержденного объема доходов местного бюджета, без учета объема безвозмездных поступлений, на 2023 год в сумме 250,61 тыс. рублей, или 5 % от утвержденного объема доходов местного бюджета, без учета объема безвозмездных поступлений, на 2024 год в сумме 260,79 тыс. рублей, или 5 % от утвержденного объема доходов местного бюджета, без учета объема безвозмездных поступлений.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ФЭО                           _______________ И.А. Мельникова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53E76A3EC34CC9F7701532C847CAA989D5A97C6EF0A1D9DBB7656C9990932847E3FFD2C57B926Dn3H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